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7B8F" w14:textId="77777777" w:rsidR="00F12FE9" w:rsidRDefault="00000000">
      <w:pPr>
        <w:pStyle w:val="1"/>
        <w:ind w:firstLineChars="300" w:firstLine="1080"/>
      </w:pPr>
      <w:proofErr w:type="gramStart"/>
      <w:r>
        <w:rPr>
          <w:rFonts w:hint="eastAsia"/>
        </w:rPr>
        <w:t>松湖药港负</w:t>
      </w:r>
      <w:proofErr w:type="gramEnd"/>
      <w:r>
        <w:rPr>
          <w:rFonts w:hint="eastAsia"/>
        </w:rPr>
        <w:t>二层</w:t>
      </w:r>
      <w:r>
        <w:t>充电桩网络综合布线施工</w:t>
      </w:r>
      <w:r>
        <w:rPr>
          <w:rFonts w:hint="eastAsia"/>
        </w:rPr>
        <w:t>需求</w:t>
      </w:r>
    </w:p>
    <w:p w14:paraId="49981762" w14:textId="77777777" w:rsidR="00F12FE9" w:rsidRDefault="00000000">
      <w:pPr>
        <w:pStyle w:val="2"/>
      </w:pPr>
      <w:r>
        <w:t>一、项目概述</w:t>
      </w:r>
    </w:p>
    <w:p w14:paraId="6AC5DCCC" w14:textId="77777777" w:rsidR="00F12FE9" w:rsidRDefault="00000000">
      <w:pPr>
        <w:pStyle w:val="Style13"/>
        <w:spacing w:line="360" w:lineRule="auto"/>
      </w:pPr>
      <w:proofErr w:type="gramStart"/>
      <w:r>
        <w:rPr>
          <w:rFonts w:hint="eastAsia"/>
        </w:rPr>
        <w:t>松湖药港</w:t>
      </w:r>
      <w:proofErr w:type="gramEnd"/>
      <w:r>
        <w:rPr>
          <w:rFonts w:hint="eastAsia"/>
        </w:rPr>
        <w:t>一期</w:t>
      </w:r>
      <w:r>
        <w:t>负二楼停车场因前期规划未预留充电</w:t>
      </w:r>
      <w:proofErr w:type="gramStart"/>
      <w:r>
        <w:t>桩网络</w:t>
      </w:r>
      <w:proofErr w:type="gramEnd"/>
      <w:r>
        <w:t>线路，当前</w:t>
      </w:r>
      <w:r>
        <w:rPr>
          <w:rFonts w:hint="eastAsia"/>
        </w:rPr>
        <w:t>要</w:t>
      </w:r>
      <w:r>
        <w:t>满足充电</w:t>
      </w:r>
      <w:proofErr w:type="gramStart"/>
      <w:r>
        <w:t>桩稳定</w:t>
      </w:r>
      <w:proofErr w:type="gramEnd"/>
      <w:r>
        <w:t>联网需求，</w:t>
      </w:r>
      <w:proofErr w:type="gramStart"/>
      <w:r>
        <w:t>特实施</w:t>
      </w:r>
      <w:proofErr w:type="gramEnd"/>
      <w:r>
        <w:t>超五类网线综合布线系统建设。</w:t>
      </w:r>
      <w:r>
        <w:rPr>
          <w:rFonts w:hint="eastAsia"/>
        </w:rPr>
        <w:t>要求</w:t>
      </w:r>
      <w:r>
        <w:t>采用镀锌管套管敷设方式，有效解决管线路径冲突问题，实现负二楼全部充电桩点位的网络全覆盖。同时，</w:t>
      </w:r>
      <w:proofErr w:type="gramStart"/>
      <w:r>
        <w:t>构建双</w:t>
      </w:r>
      <w:proofErr w:type="gramEnd"/>
      <w:r>
        <w:t>机柜线路接入的分布式网络架构，保障充电</w:t>
      </w:r>
      <w:proofErr w:type="gramStart"/>
      <w:r>
        <w:t>桩数据</w:t>
      </w:r>
      <w:proofErr w:type="gramEnd"/>
      <w:r>
        <w:t>传输的稳定性与高效性</w:t>
      </w:r>
      <w:r>
        <w:rPr>
          <w:rFonts w:hint="eastAsia"/>
        </w:rPr>
        <w:t>。</w:t>
      </w:r>
    </w:p>
    <w:p w14:paraId="43B461EA" w14:textId="77777777" w:rsidR="00F12FE9" w:rsidRDefault="00000000">
      <w:pPr>
        <w:pStyle w:val="3"/>
      </w:pPr>
      <w:r>
        <w:t>（一）充电</w:t>
      </w:r>
      <w:proofErr w:type="gramStart"/>
      <w:r>
        <w:t>桩区域</w:t>
      </w:r>
      <w:proofErr w:type="gramEnd"/>
      <w:r>
        <w:t>分布</w:t>
      </w:r>
    </w:p>
    <w:p w14:paraId="7A1D25BF" w14:textId="77777777" w:rsidR="00F12FE9" w:rsidRDefault="00000000">
      <w:pPr>
        <w:pStyle w:val="Style13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4FD2D" wp14:editId="0E91671D">
            <wp:simplePos x="0" y="0"/>
            <wp:positionH relativeFrom="column">
              <wp:posOffset>4051300</wp:posOffset>
            </wp:positionH>
            <wp:positionV relativeFrom="paragraph">
              <wp:posOffset>545465</wp:posOffset>
            </wp:positionV>
            <wp:extent cx="1854200" cy="1390650"/>
            <wp:effectExtent l="0" t="0" r="0" b="0"/>
            <wp:wrapSquare wrapText="bothSides"/>
            <wp:docPr id="3" name="图片 3" descr="D:\Users\gaoh01\Documents\xwechat_files\wxid_caj0outcj7ox21_6977\temp\RWTemp\2025-09\672f9b75de5c1436b44ca41566c0e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gaoh01\Documents\xwechat_files\wxid_caj0outcj7ox21_6977\temp\RWTemp\2025-09\672f9b75de5c1436b44ca41566c0e6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B2D8D1D" wp14:editId="1D8B909E">
            <wp:simplePos x="0" y="0"/>
            <wp:positionH relativeFrom="column">
              <wp:posOffset>2044700</wp:posOffset>
            </wp:positionH>
            <wp:positionV relativeFrom="paragraph">
              <wp:posOffset>551815</wp:posOffset>
            </wp:positionV>
            <wp:extent cx="1860550" cy="1396365"/>
            <wp:effectExtent l="0" t="0" r="6350" b="0"/>
            <wp:wrapSquare wrapText="bothSides"/>
            <wp:docPr id="2" name="图片 2" descr="D:\Users\gaoh01\Documents\xwechat_files\wxid_caj0outcj7ox21_6977\temp\RWTemp\2025-09\ccb6fe62d90f984e1396ab20c1a724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gaoh01\Documents\xwechat_files\wxid_caj0outcj7ox21_6977\temp\RWTemp\2025-09\ccb6fe62d90f984e1396ab20c1a724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t>松湖药港</w:t>
      </w:r>
      <w:proofErr w:type="gramEnd"/>
      <w:r>
        <w:rPr>
          <w:rFonts w:hint="eastAsia"/>
        </w:rPr>
        <w:t>一期</w:t>
      </w:r>
      <w:r>
        <w:t>负二楼充电</w:t>
      </w:r>
      <w:proofErr w:type="gramStart"/>
      <w:r>
        <w:t>桩集中</w:t>
      </w:r>
      <w:proofErr w:type="gramEnd"/>
      <w:r>
        <w:t>分布于地下停车场</w:t>
      </w:r>
      <w:r>
        <w:t xml:space="preserve"> T3</w:t>
      </w:r>
      <w:r>
        <w:t>、</w:t>
      </w:r>
      <w:r>
        <w:t xml:space="preserve">T5 </w:t>
      </w:r>
      <w:r>
        <w:t>及</w:t>
      </w:r>
      <w:r>
        <w:t xml:space="preserve"> T6 </w:t>
      </w:r>
      <w:r>
        <w:t>区域，经现场统计，合计规划</w:t>
      </w:r>
      <w:r>
        <w:t xml:space="preserve"> 9</w:t>
      </w:r>
      <w:r>
        <w:rPr>
          <w:rFonts w:hint="eastAsia"/>
        </w:rPr>
        <w:t>3</w:t>
      </w:r>
      <w:r>
        <w:t xml:space="preserve"> </w:t>
      </w:r>
      <w:proofErr w:type="gramStart"/>
      <w:r>
        <w:t>个</w:t>
      </w:r>
      <w:proofErr w:type="gramEnd"/>
      <w:r>
        <w:t>充电停车位，</w:t>
      </w:r>
      <w:r>
        <w:rPr>
          <w:rFonts w:hint="eastAsia"/>
        </w:rPr>
        <w:t>T</w:t>
      </w:r>
      <w:r>
        <w:t>3</w:t>
      </w:r>
      <w:r>
        <w:rPr>
          <w:rFonts w:hint="eastAsia"/>
        </w:rPr>
        <w:t>区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个、</w:t>
      </w:r>
      <w:r>
        <w:rPr>
          <w:rFonts w:hint="eastAsia"/>
        </w:rPr>
        <w:t>T</w:t>
      </w:r>
      <w:r>
        <w:t>5</w:t>
      </w:r>
      <w:r>
        <w:rPr>
          <w:rFonts w:hint="eastAsia"/>
        </w:rPr>
        <w:t>区</w:t>
      </w:r>
      <w:r>
        <w:t>44</w:t>
      </w:r>
      <w:r>
        <w:rPr>
          <w:rFonts w:hint="eastAsia"/>
        </w:rPr>
        <w:t>个、</w:t>
      </w:r>
      <w:r>
        <w:rPr>
          <w:rFonts w:hint="eastAsia"/>
        </w:rPr>
        <w:t>T</w:t>
      </w:r>
      <w:r>
        <w:t xml:space="preserve">6 </w:t>
      </w:r>
      <w:r>
        <w:rPr>
          <w:rFonts w:hint="eastAsia"/>
        </w:rPr>
        <w:t>区</w:t>
      </w:r>
      <w:r>
        <w:t>34</w:t>
      </w:r>
      <w:r>
        <w:rPr>
          <w:rFonts w:hint="eastAsia"/>
        </w:rPr>
        <w:t>个</w:t>
      </w:r>
      <w:r>
        <w:t>，需针对性设计网络覆盖方案。</w:t>
      </w:r>
    </w:p>
    <w:p w14:paraId="4B3E0520" w14:textId="77777777" w:rsidR="00F12FE9" w:rsidRDefault="00000000">
      <w:pPr>
        <w:pStyle w:val="3"/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0E37B346" wp14:editId="09E54EE9">
            <wp:simplePos x="0" y="0"/>
            <wp:positionH relativeFrom="column">
              <wp:posOffset>117475</wp:posOffset>
            </wp:positionH>
            <wp:positionV relativeFrom="paragraph">
              <wp:posOffset>30480</wp:posOffset>
            </wp:positionV>
            <wp:extent cx="1860550" cy="1377315"/>
            <wp:effectExtent l="0" t="0" r="6350" b="0"/>
            <wp:wrapSquare wrapText="bothSides"/>
            <wp:docPr id="1" name="图片 1" descr="D:\Users\gaoh01\Documents\xwechat_files\wxid_caj0outcj7ox21_6977\temp\RWTemp\2025-09\a62512c16fc23d9cd2bc28e066093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gaoh01\Documents\xwechat_files\wxid_caj0outcj7ox21_6977\temp\RWTemp\2025-09\a62512c16fc23d9cd2bc28e06609325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577677" w14:textId="77777777" w:rsidR="00F12FE9" w:rsidRDefault="00000000">
      <w:pPr>
        <w:pStyle w:val="3"/>
      </w:pPr>
      <w:r>
        <w:t>（二）网络汇聚规划</w:t>
      </w:r>
    </w:p>
    <w:p w14:paraId="276884E7" w14:textId="77777777" w:rsidR="00F12FE9" w:rsidRDefault="00000000">
      <w:pPr>
        <w:pStyle w:val="Style13"/>
      </w:pPr>
      <w:r>
        <w:t>结合</w:t>
      </w:r>
      <w:r>
        <w:rPr>
          <w:rFonts w:hint="eastAsia"/>
        </w:rPr>
        <w:t>负一楼和</w:t>
      </w:r>
      <w:r>
        <w:t>负二楼弱电间实际布局，综合</w:t>
      </w:r>
      <w:proofErr w:type="gramStart"/>
      <w:r>
        <w:t>考量</w:t>
      </w:r>
      <w:proofErr w:type="gramEnd"/>
      <w:r>
        <w:t>车位分布密度、施工材料传输特性及后期维护便利性，确定以下网络汇聚方案：</w:t>
      </w:r>
    </w:p>
    <w:p w14:paraId="6FBF6B4E" w14:textId="77777777" w:rsidR="00F12FE9" w:rsidRDefault="00000000">
      <w:pPr>
        <w:pStyle w:val="Style13"/>
        <w:numPr>
          <w:ilvl w:val="0"/>
          <w:numId w:val="1"/>
        </w:numPr>
      </w:pPr>
      <w:r>
        <w:rPr>
          <w:b/>
          <w:bCs/>
        </w:rPr>
        <w:t>T3</w:t>
      </w:r>
      <w:r>
        <w:rPr>
          <w:rFonts w:hint="eastAsia"/>
          <w:b/>
          <w:bCs/>
        </w:rPr>
        <w:t>.T5</w:t>
      </w:r>
      <w:r>
        <w:rPr>
          <w:b/>
          <w:bCs/>
        </w:rPr>
        <w:t>区域</w:t>
      </w:r>
      <w:r>
        <w:t>（覆盖</w:t>
      </w:r>
      <w:r>
        <w:t xml:space="preserve"> T3 </w:t>
      </w:r>
      <w:r>
        <w:t>部分区域及</w:t>
      </w:r>
      <w:r>
        <w:t xml:space="preserve"> T5 </w:t>
      </w:r>
      <w:r>
        <w:t>区域）：由</w:t>
      </w:r>
      <w:r>
        <w:t xml:space="preserve"> T5 </w:t>
      </w:r>
      <w:r>
        <w:t>区域的弱电</w:t>
      </w:r>
      <w:proofErr w:type="gramStart"/>
      <w:r>
        <w:t>间承担</w:t>
      </w:r>
      <w:proofErr w:type="gramEnd"/>
      <w:r>
        <w:t>网络汇聚功能，该区域充电</w:t>
      </w:r>
      <w:proofErr w:type="gramStart"/>
      <w:r>
        <w:t>桩直接</w:t>
      </w:r>
      <w:proofErr w:type="gramEnd"/>
      <w:r>
        <w:t>通过网线接入</w:t>
      </w:r>
      <w:r>
        <w:t xml:space="preserve"> T5 </w:t>
      </w:r>
      <w:r>
        <w:t>弱电间内的交换机。</w:t>
      </w:r>
    </w:p>
    <w:p w14:paraId="1D8483ED" w14:textId="77777777" w:rsidR="00F12FE9" w:rsidRDefault="00000000">
      <w:pPr>
        <w:pStyle w:val="Style13"/>
        <w:numPr>
          <w:ilvl w:val="0"/>
          <w:numId w:val="1"/>
        </w:numPr>
      </w:pPr>
      <w:r>
        <w:rPr>
          <w:rFonts w:hint="eastAsia"/>
          <w:b/>
          <w:bCs/>
        </w:rPr>
        <w:t>T6</w:t>
      </w:r>
      <w:r>
        <w:t>（覆盖</w:t>
      </w:r>
      <w:r>
        <w:t xml:space="preserve"> T3 </w:t>
      </w:r>
      <w:r>
        <w:t>剩余区域及</w:t>
      </w:r>
      <w:r>
        <w:t xml:space="preserve"> T6 </w:t>
      </w:r>
      <w:r>
        <w:t>区域）：由</w:t>
      </w:r>
      <w:r>
        <w:t xml:space="preserve"> T6 </w:t>
      </w:r>
      <w:r>
        <w:t>区域的弱电间负责初步网络汇聚，再通过光缆将</w:t>
      </w:r>
      <w:r>
        <w:t xml:space="preserve"> T6 </w:t>
      </w:r>
      <w:r>
        <w:t>弱电间的汇聚交换机信号延伸至</w:t>
      </w:r>
      <w:r>
        <w:t xml:space="preserve"> T5 </w:t>
      </w:r>
      <w:r>
        <w:t>区域的弱电间，最终与</w:t>
      </w:r>
      <w:r>
        <w:t xml:space="preserve"> T5 </w:t>
      </w:r>
      <w:r>
        <w:t>区域网络融合。</w:t>
      </w:r>
    </w:p>
    <w:p w14:paraId="7FC5E6D9" w14:textId="77777777" w:rsidR="00F12FE9" w:rsidRDefault="00000000">
      <w:pPr>
        <w:pStyle w:val="Style13"/>
      </w:pPr>
      <w:r>
        <w:t>整体网络接入路径为：充电</w:t>
      </w:r>
      <w:proofErr w:type="gramStart"/>
      <w:r>
        <w:t>桩设备</w:t>
      </w:r>
      <w:proofErr w:type="gramEnd"/>
      <w:r>
        <w:t>→</w:t>
      </w:r>
      <w:r>
        <w:t>对应区域汇聚交换机</w:t>
      </w:r>
      <w:r>
        <w:t xml:space="preserve">→T5 </w:t>
      </w:r>
      <w:r>
        <w:t>区域弱电间路由器</w:t>
      </w:r>
      <w:r>
        <w:t>→</w:t>
      </w:r>
      <w:proofErr w:type="gramStart"/>
      <w:r>
        <w:t>光猫</w:t>
      </w:r>
      <w:proofErr w:type="gramEnd"/>
      <w:r>
        <w:t xml:space="preserve">→1 </w:t>
      </w:r>
      <w:r>
        <w:t>楼电信机房</w:t>
      </w:r>
      <w:r>
        <w:t>→</w:t>
      </w:r>
      <w:r>
        <w:t>公网，确保所有充电桩均能稳定接入互联网。</w:t>
      </w:r>
    </w:p>
    <w:p w14:paraId="32315DE9" w14:textId="77777777" w:rsidR="00F12FE9" w:rsidRDefault="00F12FE9">
      <w:pPr>
        <w:pStyle w:val="Style13"/>
      </w:pPr>
    </w:p>
    <w:p w14:paraId="2AEC810C" w14:textId="77777777" w:rsidR="00F12FE9" w:rsidRDefault="00000000">
      <w:pPr>
        <w:pStyle w:val="3"/>
      </w:pPr>
      <w:r>
        <w:rPr>
          <w:rFonts w:hint="eastAsia"/>
        </w:rPr>
        <w:t>二、需求清单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3"/>
        <w:gridCol w:w="815"/>
        <w:gridCol w:w="975"/>
        <w:gridCol w:w="5000"/>
        <w:gridCol w:w="554"/>
        <w:gridCol w:w="554"/>
        <w:gridCol w:w="565"/>
      </w:tblGrid>
      <w:tr w:rsidR="00F12FE9" w14:paraId="27DF8563" w14:textId="77777777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7530" w14:textId="77777777" w:rsidR="00F12FE9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bCs/>
                <w:color w:val="000000"/>
                <w:sz w:val="32"/>
                <w:szCs w:val="32"/>
                <w:lang w:bidi="ar"/>
              </w:rPr>
              <w:lastRenderedPageBreak/>
              <w:t>松湖药港负</w:t>
            </w:r>
            <w:proofErr w:type="gramEnd"/>
            <w:r>
              <w:rPr>
                <w:rFonts w:ascii="黑体" w:eastAsia="黑体" w:hAnsi="宋体" w:cs="黑体" w:hint="eastAsia"/>
                <w:b/>
                <w:bCs/>
                <w:color w:val="000000"/>
                <w:sz w:val="32"/>
                <w:szCs w:val="32"/>
                <w:lang w:bidi="ar"/>
              </w:rPr>
              <w:t>二层充电桩网络综合布线项目清单</w:t>
            </w:r>
          </w:p>
        </w:tc>
      </w:tr>
      <w:tr w:rsidR="00F12FE9" w14:paraId="3C4A4FAD" w14:textId="77777777" w:rsidTr="004641EA">
        <w:trPr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0CDD5D" w14:textId="77777777" w:rsidR="00F12FE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950DAE" w14:textId="77777777" w:rsidR="00F12FE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设备器材名称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63A9E56" w14:textId="77777777" w:rsidR="00F12FE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D8FFB8" w14:textId="77777777" w:rsidR="00F12FE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型号及规格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CD6EB58" w14:textId="77777777" w:rsidR="00F12FE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0F5CF7" w14:textId="77777777" w:rsidR="00F12FE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6E734E" w14:textId="77777777" w:rsidR="00F12FE9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:rsidR="00F12FE9" w14:paraId="51A8D5C5" w14:textId="77777777" w:rsidTr="004641EA">
        <w:trPr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7F9C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3C64" w14:textId="77777777" w:rsidR="00F12FE9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路由器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B56C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华为或同等级别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CDB4" w14:textId="77777777" w:rsidR="00F551FB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S380-S8P2T</w:t>
            </w:r>
          </w:p>
          <w:p w14:paraId="2F38DC0F" w14:textId="60389EB1" w:rsidR="00F12FE9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带机量300台,出口带宽2G,2*GE(WAN口),8*GE(LAN口),支持</w:t>
            </w:r>
            <w:proofErr w:type="spellStart"/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PoE+,PoE</w:t>
            </w:r>
            <w:proofErr w:type="spellEnd"/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功率124W,Mac地址表:2K,自然散热,桌面款,支持AC功能,最大可管理64个AP,支持</w:t>
            </w:r>
            <w:proofErr w:type="spellStart"/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EasyWeb</w:t>
            </w:r>
            <w:proofErr w:type="spellEnd"/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功能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ED89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B828D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36A3" w14:textId="77777777" w:rsidR="00F12FE9" w:rsidRPr="00AC738C" w:rsidRDefault="00F12FE9">
            <w:pPr>
              <w:snapToGrid w:val="0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F12FE9" w14:paraId="10EA5768" w14:textId="77777777" w:rsidTr="004641EA">
        <w:trPr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B624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592B" w14:textId="77777777" w:rsidR="00F12FE9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48口接入交换机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BB83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华三或同等级别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BEA7" w14:textId="77777777" w:rsidR="00F551FB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H3C Mini S1248</w:t>
            </w:r>
          </w:p>
          <w:p w14:paraId="6FF451DA" w14:textId="00E87A2D" w:rsidR="00F12FE9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以太网交换机(48GE,交流供电)，MAC地址表：16K，端口交换容量：96Gbps，转发能力：71.4Mpps。风扇散热，带挂耳，可上机架安装。包缓存：12Mbit。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FA0E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9A740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3CFC" w14:textId="77777777" w:rsidR="00F12FE9" w:rsidRPr="00AC738C" w:rsidRDefault="00F12FE9">
            <w:pPr>
              <w:snapToGrid w:val="0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F12FE9" w14:paraId="23B62436" w14:textId="77777777" w:rsidTr="004641EA">
        <w:trPr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EBAE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1CD8" w14:textId="77777777" w:rsidR="00F12FE9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8口接入交换机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71DF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华三或同等级别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D4AF" w14:textId="77777777" w:rsidR="00F551FB" w:rsidRPr="00AC738C" w:rsidRDefault="00000000" w:rsidP="00F551FB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H3C Mini S2G Pro</w:t>
            </w:r>
          </w:p>
          <w:p w14:paraId="2F3144F7" w14:textId="776E95B2" w:rsidR="00F12FE9" w:rsidRPr="00AC738C" w:rsidRDefault="00000000" w:rsidP="00F551FB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以太网交换机(8GE,直流供电)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801D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29DD9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41FB" w14:textId="77777777" w:rsidR="00F12FE9" w:rsidRPr="00AC738C" w:rsidRDefault="00F12FE9">
            <w:pPr>
              <w:snapToGrid w:val="0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F12FE9" w14:paraId="42EA5087" w14:textId="77777777" w:rsidTr="004641EA">
        <w:trPr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DFEB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0BF7" w14:textId="77777777" w:rsidR="00F12FE9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理线架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5FB83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国产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C94D" w14:textId="77777777" w:rsidR="00F12FE9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机架式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5A59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FFE32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934A" w14:textId="77777777" w:rsidR="00F12FE9" w:rsidRPr="00AC738C" w:rsidRDefault="00F12FE9">
            <w:pPr>
              <w:snapToGrid w:val="0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F12FE9" w14:paraId="04372B76" w14:textId="77777777" w:rsidTr="004641EA">
        <w:trPr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324C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4CA0" w14:textId="77777777" w:rsidR="00F12FE9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接入机柜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666BF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国产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984F" w14:textId="77777777" w:rsidR="00F12FE9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9U壁挂式机柜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F054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3BA5A" w14:textId="77777777" w:rsidR="00F12FE9" w:rsidRPr="00AC738C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07DA" w14:textId="77777777" w:rsidR="00F12FE9" w:rsidRPr="00AC738C" w:rsidRDefault="00F12FE9">
            <w:pPr>
              <w:snapToGrid w:val="0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F12FE9" w14:paraId="7AFD42AA" w14:textId="77777777" w:rsidTr="00F551FB">
        <w:trPr>
          <w:trHeight w:val="49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49177" w14:textId="6F29C53D" w:rsidR="00F12FE9" w:rsidRPr="00AC738C" w:rsidRDefault="0000000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备注：该项工程为</w:t>
            </w:r>
            <w:r w:rsidR="004641EA"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综合单价</w:t>
            </w: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包干</w:t>
            </w:r>
            <w:r w:rsidR="00F654A6"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，</w:t>
            </w:r>
            <w:r w:rsidR="00F654A6" w:rsidRPr="00AC738C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综合单价包含但不限于：主材费（含损耗）、人工费、辅材及机械费、管理费、利润、税金等。</w:t>
            </w:r>
            <w:r w:rsidR="00F654A6"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工程量按实结算</w:t>
            </w:r>
            <w:r w:rsidRPr="00AC738C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。</w:t>
            </w:r>
          </w:p>
        </w:tc>
      </w:tr>
    </w:tbl>
    <w:p w14:paraId="60F37C0D" w14:textId="77777777" w:rsidR="00F12FE9" w:rsidRDefault="00F12FE9"/>
    <w:p w14:paraId="77EAE825" w14:textId="77777777" w:rsidR="00F12FE9" w:rsidRDefault="00000000">
      <w:pPr>
        <w:pStyle w:val="2"/>
      </w:pPr>
      <w:r>
        <w:rPr>
          <w:rFonts w:hint="eastAsia"/>
        </w:rPr>
        <w:t>三、</w:t>
      </w:r>
      <w:r>
        <w:t>质量</w:t>
      </w:r>
      <w:r>
        <w:rPr>
          <w:rFonts w:hint="eastAsia"/>
        </w:rPr>
        <w:t>要求</w:t>
      </w:r>
    </w:p>
    <w:p w14:paraId="09D8C317" w14:textId="77777777" w:rsidR="00F12FE9" w:rsidRDefault="00000000">
      <w:pPr>
        <w:pStyle w:val="Style13"/>
        <w:numPr>
          <w:ilvl w:val="0"/>
          <w:numId w:val="2"/>
        </w:numPr>
      </w:pPr>
      <w:r>
        <w:t>管线敷设质量：所有管线敷设确保管线横平竖直，吊拉杆间距、镀锌管弯曲半径等符合技术要求，敷设完成后进行平整度检测，不合格部分及时整改。</w:t>
      </w:r>
    </w:p>
    <w:p w14:paraId="5BC0EF58" w14:textId="77777777" w:rsidR="00F12FE9" w:rsidRDefault="00000000">
      <w:pPr>
        <w:pStyle w:val="Style13"/>
        <w:numPr>
          <w:ilvl w:val="0"/>
          <w:numId w:val="2"/>
        </w:numPr>
      </w:pPr>
      <w:r>
        <w:t>线缆端接质量：网线端</w:t>
      </w:r>
      <w:proofErr w:type="gramStart"/>
      <w:r>
        <w:t>接严格</w:t>
      </w:r>
      <w:proofErr w:type="gramEnd"/>
      <w:r>
        <w:t>遵循</w:t>
      </w:r>
      <w:r>
        <w:t xml:space="preserve"> T568B </w:t>
      </w:r>
      <w:r>
        <w:t>标准，每个水晶头制作完成后需通过测试仪检测通断与线序；光纤熔接安排经验丰富的技术人员操作，熔接后使用光功率计检测熔接损耗，确保</w:t>
      </w:r>
      <w:r>
        <w:t>≤0.3dB</w:t>
      </w:r>
      <w:r>
        <w:t>，不符合要求的重新熔接。</w:t>
      </w:r>
    </w:p>
    <w:p w14:paraId="13AAE055" w14:textId="77777777" w:rsidR="00F12FE9" w:rsidRDefault="00000000">
      <w:pPr>
        <w:pStyle w:val="Style13"/>
        <w:numPr>
          <w:ilvl w:val="0"/>
          <w:numId w:val="2"/>
        </w:numPr>
      </w:pPr>
      <w:r>
        <w:t>设备安装质量：设备安装前检查设备外观与参数是否符合采购要求，安装过程中按照设备说明书规范操作，确保设备固定牢固、线缆连接正确，调试完成后进行</w:t>
      </w:r>
      <w:r>
        <w:t xml:space="preserve"> 24 </w:t>
      </w:r>
      <w:r>
        <w:t>小时稳定性测试，保障设备长期稳定运行。</w:t>
      </w:r>
    </w:p>
    <w:p w14:paraId="7C97EE84" w14:textId="141084B1" w:rsidR="004641EA" w:rsidRDefault="004641EA" w:rsidP="004641EA">
      <w:pPr>
        <w:pStyle w:val="Style13"/>
        <w:numPr>
          <w:ilvl w:val="0"/>
          <w:numId w:val="2"/>
        </w:numPr>
      </w:pPr>
      <w:r w:rsidRPr="004641EA">
        <w:rPr>
          <w:rFonts w:hint="eastAsia"/>
        </w:rPr>
        <w:t>后期维护保障：施工完成后，整理并提交详细的施工图纸、设备清单、测试报告等资料，为后期维护提供依据；在设备保质期内，建立定期巡检机制，及时处理设备故障与线路问题，确保网络系统持续稳定运行。</w:t>
      </w:r>
    </w:p>
    <w:sectPr w:rsidR="004641E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288" w:hanging="288"/>
      </w:pPr>
      <w:rPr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 w16cid:durableId="201329583">
    <w:abstractNumId w:val="0"/>
    <w:lvlOverride w:ilvl="0">
      <w:startOverride w:val="1"/>
    </w:lvlOverride>
  </w:num>
  <w:num w:numId="2" w16cid:durableId="7111476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DB"/>
    <w:rsid w:val="00135C4B"/>
    <w:rsid w:val="004641EA"/>
    <w:rsid w:val="00496472"/>
    <w:rsid w:val="0067059E"/>
    <w:rsid w:val="007336BE"/>
    <w:rsid w:val="009058EB"/>
    <w:rsid w:val="00AC738C"/>
    <w:rsid w:val="00B670E3"/>
    <w:rsid w:val="00EA16DC"/>
    <w:rsid w:val="00EB64ED"/>
    <w:rsid w:val="00EE59DB"/>
    <w:rsid w:val="00F12FE9"/>
    <w:rsid w:val="00F551FB"/>
    <w:rsid w:val="00F654A6"/>
    <w:rsid w:val="00F764FA"/>
    <w:rsid w:val="00FD44F5"/>
    <w:rsid w:val="11955BA3"/>
    <w:rsid w:val="13B50586"/>
    <w:rsid w:val="140A7F60"/>
    <w:rsid w:val="25B5648B"/>
    <w:rsid w:val="2852704F"/>
    <w:rsid w:val="2C8A7ED5"/>
    <w:rsid w:val="309E5588"/>
    <w:rsid w:val="318662C0"/>
    <w:rsid w:val="326A6767"/>
    <w:rsid w:val="38522031"/>
    <w:rsid w:val="3B7F12F6"/>
    <w:rsid w:val="40DD7D7F"/>
    <w:rsid w:val="485D651B"/>
    <w:rsid w:val="50800868"/>
    <w:rsid w:val="560A5808"/>
    <w:rsid w:val="57AA4E32"/>
    <w:rsid w:val="57C2639A"/>
    <w:rsid w:val="595B4E05"/>
    <w:rsid w:val="59BC3E3D"/>
    <w:rsid w:val="59D423B5"/>
    <w:rsid w:val="5E4A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CABAD5"/>
  <w15:docId w15:val="{1BDECDA9-D9FC-4D66-8C69-0BC2D12F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  <w:qFormat/>
    <w:rPr>
      <w:rFonts w:asciiTheme="minorHAnsi" w:eastAsiaTheme="minorEastAsia" w:hAnsiTheme="minorHAnsi" w:cstheme="minorBidi"/>
    </w:rPr>
  </w:style>
  <w:style w:type="paragraph" w:styleId="a5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6">
    <w:name w:val="Hyperlink"/>
    <w:uiPriority w:val="99"/>
    <w:unhideWhenUsed/>
    <w:qFormat/>
    <w:rPr>
      <w:color w:val="0563C1"/>
      <w:u w:val="single"/>
    </w:rPr>
  </w:style>
  <w:style w:type="character" w:styleId="a7">
    <w:name w:val="footnote reference"/>
    <w:uiPriority w:val="99"/>
    <w:semiHidden/>
    <w:unhideWhenUsed/>
    <w:qFormat/>
    <w:rPr>
      <w:vertAlign w:val="superscript"/>
    </w:rPr>
  </w:style>
  <w:style w:type="paragraph" w:styleId="a8">
    <w:name w:val="List Paragraph"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脚注文本 字符"/>
    <w:link w:val="a3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702</Words>
  <Characters>738</Characters>
  <Application>Microsoft Office Word</Application>
  <DocSecurity>0</DocSecurity>
  <Lines>43</Lines>
  <Paragraphs>37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13</cp:revision>
  <dcterms:created xsi:type="dcterms:W3CDTF">2025-11-20T16:09:00Z</dcterms:created>
  <dcterms:modified xsi:type="dcterms:W3CDTF">2026-01-27T08:59:00Z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eyJoZGlkIjoiMjY4YWUzZjk4OTRhYTI4ZDdhZDMyYTg5NWQ0OGFiZGEiLCJ1c2VySWQiOiI0MDA2NTg0NTgifQ==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A1BD791E35054C6F9C8F79EB6810EA8E_13</vt:lpwstr>
  </property>
</Properties>
</file>